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1F" w:rsidRDefault="00754C1F" w:rsidP="00E00A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4C1F" w:rsidRPr="00BA7DB0" w:rsidRDefault="00754C1F" w:rsidP="00BA7DB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7D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парковкам (парковочным местам) для обеспечения стоянки транспортных средств</w:t>
      </w:r>
    </w:p>
    <w:p w:rsidR="00754C1F" w:rsidRDefault="00754C1F" w:rsidP="00E00A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0A32" w:rsidRPr="00E00A32" w:rsidRDefault="00E00A32" w:rsidP="00E00A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С 1 января 2020 года вступил в силу </w:t>
      </w:r>
      <w:hyperlink r:id="rId5" w:history="1">
        <w:r w:rsidRPr="00E00A32">
          <w:rPr>
            <w:rFonts w:ascii="Times New Roman" w:eastAsia="Times New Roman" w:hAnsi="Times New Roman" w:cs="Times New Roman"/>
            <w:color w:val="0A6CAC"/>
            <w:sz w:val="24"/>
            <w:szCs w:val="24"/>
          </w:rPr>
          <w:t xml:space="preserve">приказ Минтранса России от 17 мая 2018 г. </w:t>
        </w:r>
        <w:r w:rsidR="00754C1F">
          <w:rPr>
            <w:rFonts w:ascii="Times New Roman" w:eastAsia="Times New Roman" w:hAnsi="Times New Roman" w:cs="Times New Roman"/>
            <w:color w:val="0A6CAC"/>
            <w:sz w:val="24"/>
            <w:szCs w:val="24"/>
          </w:rPr>
          <w:t xml:space="preserve">  </w:t>
        </w:r>
        <w:r w:rsidRPr="00E00A32">
          <w:rPr>
            <w:rFonts w:ascii="Times New Roman" w:eastAsia="Times New Roman" w:hAnsi="Times New Roman" w:cs="Times New Roman"/>
            <w:color w:val="0A6CAC"/>
            <w:sz w:val="24"/>
            <w:szCs w:val="24"/>
          </w:rPr>
          <w:t>№ 199</w:t>
        </w:r>
      </w:hyperlink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 (далее – приказ № 199), которым утверждены новые требования к парковкам (парковочным местам) для обеспечения стоянки транспортных средств (далее – ТС), принадлежащих юр</w:t>
      </w:r>
      <w:r w:rsidR="0075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идическим </w:t>
      </w:r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лицам и </w:t>
      </w:r>
      <w:r w:rsidR="00754C1F"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. Они касаются перевозчиков, осуществляющих коммерческие перевозки или перевозки для собственных нужд. Данный документ отменяет приказ Минтранса России от 19 апреля 2016 г. № 108.</w:t>
      </w:r>
    </w:p>
    <w:p w:rsidR="00E00A32" w:rsidRPr="00E00A32" w:rsidRDefault="00E00A32" w:rsidP="00E00A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Новые требования распространяются не только на </w:t>
      </w:r>
      <w:r w:rsidR="00754C1F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</w:t>
      </w:r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используемые для осуществления регулярных перевозок пассажиров и багажа автомобильным транспортом и городским наземным электрическим транспортом, но и на перевозки по заказу, на перевозки (перемещение лиц или материальных объектов) для собственных нужд, осуществляемые без заключения договоров перевозки или фрахтования. Требования также распространяются на все указанные </w:t>
      </w:r>
      <w:r w:rsidR="0075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транспортные средства </w:t>
      </w:r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возвращении из рейса и окончании смены водителя.</w:t>
      </w:r>
    </w:p>
    <w:p w:rsidR="00E00A32" w:rsidRPr="00E00A32" w:rsidRDefault="00E00A32" w:rsidP="00E00A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Введена территориальная принадлежность парковочных мест – в границах городских поселений, городских округов, городов федерального значения Москвы, Санкт-Петербурга и Севастополя.</w:t>
      </w:r>
    </w:p>
    <w:p w:rsidR="00E00A32" w:rsidRPr="00E00A32" w:rsidRDefault="00E00A32" w:rsidP="00E00A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В новом приказе сохранились общие требования, касающиеся:</w:t>
      </w:r>
    </w:p>
    <w:p w:rsidR="00E00A32" w:rsidRPr="00E00A32" w:rsidRDefault="00E00A32" w:rsidP="00E00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въездов </w:t>
      </w:r>
      <w:r w:rsidR="0075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транспортных средств </w:t>
      </w:r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парковки и выезда с них, а также движения </w:t>
      </w:r>
      <w:r w:rsidR="00754C1F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 средств</w:t>
      </w:r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парковках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должны осуществляться в соответствии с проектами организации дорожного движения (однако следует учитывать, что на смену </w:t>
      </w:r>
      <w:hyperlink r:id="rId6" w:history="1">
        <w:r w:rsidRPr="00E00A32">
          <w:rPr>
            <w:rFonts w:ascii="Times New Roman" w:eastAsia="Times New Roman" w:hAnsi="Times New Roman" w:cs="Times New Roman"/>
            <w:color w:val="0A6CAC"/>
            <w:sz w:val="24"/>
            <w:szCs w:val="24"/>
          </w:rPr>
          <w:t>приказу Минтранса России от 17 марта 2015 г. № 43</w:t>
        </w:r>
      </w:hyperlink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устанавливающему правила подготовки проектов и схем организации дорожного движения, пришел новый приказ Минтранса России от 26 декабря 2018</w:t>
      </w:r>
      <w:proofErr w:type="gramEnd"/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 </w:t>
      </w:r>
      <w:proofErr w:type="gramStart"/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480</w:t>
      </w:r>
      <w:proofErr w:type="gramEnd"/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hyperlink r:id="rId7" w:history="1">
        <w:proofErr w:type="gramStart"/>
        <w:r w:rsidRPr="00E00A32">
          <w:rPr>
            <w:rFonts w:ascii="Times New Roman" w:eastAsia="Times New Roman" w:hAnsi="Times New Roman" w:cs="Times New Roman"/>
            <w:color w:val="0A6CAC"/>
            <w:sz w:val="24"/>
            <w:szCs w:val="24"/>
          </w:rPr>
          <w:t>Об</w:t>
        </w:r>
        <w:proofErr w:type="gramEnd"/>
        <w:r w:rsidRPr="00E00A32">
          <w:rPr>
            <w:rFonts w:ascii="Times New Roman" w:eastAsia="Times New Roman" w:hAnsi="Times New Roman" w:cs="Times New Roman"/>
            <w:color w:val="0A6CAC"/>
            <w:sz w:val="24"/>
            <w:szCs w:val="24"/>
          </w:rPr>
          <w:t xml:space="preserve"> </w:t>
        </w:r>
        <w:proofErr w:type="gramStart"/>
        <w:r w:rsidRPr="00E00A32">
          <w:rPr>
            <w:rFonts w:ascii="Times New Roman" w:eastAsia="Times New Roman" w:hAnsi="Times New Roman" w:cs="Times New Roman"/>
            <w:color w:val="0A6CAC"/>
            <w:sz w:val="24"/>
            <w:szCs w:val="24"/>
          </w:rPr>
          <w:t>утверждении Правил подготовки документации по организации дорожного движения</w:t>
        </w:r>
      </w:hyperlink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»);</w:t>
      </w:r>
      <w:proofErr w:type="gramEnd"/>
    </w:p>
    <w:p w:rsidR="00E00A32" w:rsidRPr="00E00A32" w:rsidRDefault="00E00A32" w:rsidP="00E00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освещения парковок в темное время суток – здесь по-прежнему учитываются нормы </w:t>
      </w:r>
      <w:hyperlink r:id="rId8" w:anchor="block_747" w:history="1">
        <w:r w:rsidRPr="00E00A32">
          <w:rPr>
            <w:rFonts w:ascii="Times New Roman" w:eastAsia="Times New Roman" w:hAnsi="Times New Roman" w:cs="Times New Roman"/>
            <w:color w:val="0A6CAC"/>
            <w:sz w:val="24"/>
            <w:szCs w:val="24"/>
          </w:rPr>
          <w:t>п. 7.47</w:t>
        </w:r>
      </w:hyperlink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9" w:anchor="block_748" w:history="1">
        <w:r w:rsidRPr="00E00A32">
          <w:rPr>
            <w:rFonts w:ascii="Times New Roman" w:eastAsia="Times New Roman" w:hAnsi="Times New Roman" w:cs="Times New Roman"/>
            <w:color w:val="0A6CAC"/>
            <w:sz w:val="24"/>
            <w:szCs w:val="24"/>
          </w:rPr>
          <w:t>п. 7.48</w:t>
        </w:r>
      </w:hyperlink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 СП 52.13330.2011 «</w:t>
      </w:r>
      <w:proofErr w:type="spellStart"/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23-05-95 Естественное и искусственное освещение;</w:t>
      </w:r>
    </w:p>
    <w:p w:rsidR="00E00A32" w:rsidRPr="00E00A32" w:rsidRDefault="00E00A32" w:rsidP="00E00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устроения парковок на площадке, имеющей капитальный, облегченный или переходный тип дорожной одежды, соответствующий требованиям, предусмотренным </w:t>
      </w:r>
      <w:hyperlink r:id="rId10" w:anchor="block_801" w:history="1">
        <w:r w:rsidRPr="00E00A32">
          <w:rPr>
            <w:rFonts w:ascii="Times New Roman" w:eastAsia="Times New Roman" w:hAnsi="Times New Roman" w:cs="Times New Roman"/>
            <w:color w:val="0A6CAC"/>
            <w:sz w:val="24"/>
            <w:szCs w:val="24"/>
          </w:rPr>
          <w:t>п. 8.1-8.5</w:t>
        </w:r>
      </w:hyperlink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1" w:anchor="block_807" w:history="1">
        <w:r w:rsidRPr="00E00A32">
          <w:rPr>
            <w:rFonts w:ascii="Times New Roman" w:eastAsia="Times New Roman" w:hAnsi="Times New Roman" w:cs="Times New Roman"/>
            <w:color w:val="0A6CAC"/>
            <w:sz w:val="24"/>
            <w:szCs w:val="24"/>
          </w:rPr>
          <w:t>7-8.14</w:t>
        </w:r>
      </w:hyperlink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2" w:anchor="block_816" w:history="1">
        <w:r w:rsidRPr="00E00A32">
          <w:rPr>
            <w:rFonts w:ascii="Times New Roman" w:eastAsia="Times New Roman" w:hAnsi="Times New Roman" w:cs="Times New Roman"/>
            <w:color w:val="0A6CAC"/>
            <w:sz w:val="24"/>
            <w:szCs w:val="24"/>
          </w:rPr>
          <w:t>8.16</w:t>
        </w:r>
      </w:hyperlink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3" w:anchor="block_817" w:history="1">
        <w:r w:rsidRPr="00E00A32">
          <w:rPr>
            <w:rFonts w:ascii="Times New Roman" w:eastAsia="Times New Roman" w:hAnsi="Times New Roman" w:cs="Times New Roman"/>
            <w:color w:val="0A6CAC"/>
            <w:sz w:val="24"/>
            <w:szCs w:val="24"/>
          </w:rPr>
          <w:t>8.17</w:t>
        </w:r>
      </w:hyperlink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4" w:anchor="block_819" w:history="1">
        <w:r w:rsidRPr="00E00A32">
          <w:rPr>
            <w:rFonts w:ascii="Times New Roman" w:eastAsia="Times New Roman" w:hAnsi="Times New Roman" w:cs="Times New Roman"/>
            <w:color w:val="0A6CAC"/>
            <w:sz w:val="24"/>
            <w:szCs w:val="24"/>
          </w:rPr>
          <w:t>8.19-8.38</w:t>
        </w:r>
      </w:hyperlink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 СП 34.13330.2012 «</w:t>
      </w:r>
      <w:proofErr w:type="spellStart"/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2.05.02-85 </w:t>
      </w:r>
      <w:r w:rsidR="00754C1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Автомобильные дороги», в случае их размещения вне здания или сооружения, за исключением парковок для трамваев.</w:t>
      </w:r>
    </w:p>
    <w:p w:rsidR="00BA7DB0" w:rsidRDefault="00E00A32" w:rsidP="00754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Обращаем внимание лицензиатов, осуществляющих деятельность по перевозкам пассажиров и иных лиц автобусами</w:t>
      </w:r>
      <w:r w:rsidR="00754C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E00A32" w:rsidRPr="00E00A32" w:rsidRDefault="00754C1F" w:rsidP="00754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>
          <w:rPr>
            <w:rFonts w:ascii="Times New Roman" w:eastAsia="Times New Roman" w:hAnsi="Times New Roman" w:cs="Times New Roman"/>
            <w:color w:val="0A6CAC"/>
            <w:sz w:val="24"/>
            <w:szCs w:val="24"/>
          </w:rPr>
          <w:t>П</w:t>
        </w:r>
        <w:r w:rsidRPr="00E00A32">
          <w:rPr>
            <w:rFonts w:ascii="Times New Roman" w:eastAsia="Times New Roman" w:hAnsi="Times New Roman" w:cs="Times New Roman"/>
            <w:color w:val="0A6CAC"/>
            <w:sz w:val="24"/>
            <w:szCs w:val="24"/>
          </w:rPr>
          <w:t>риказ</w:t>
        </w:r>
        <w:r>
          <w:rPr>
            <w:rFonts w:ascii="Times New Roman" w:eastAsia="Times New Roman" w:hAnsi="Times New Roman" w:cs="Times New Roman"/>
            <w:color w:val="0A6CAC"/>
            <w:sz w:val="24"/>
            <w:szCs w:val="24"/>
          </w:rPr>
          <w:t>ом</w:t>
        </w:r>
        <w:r w:rsidRPr="00E00A32">
          <w:rPr>
            <w:rFonts w:ascii="Times New Roman" w:eastAsia="Times New Roman" w:hAnsi="Times New Roman" w:cs="Times New Roman"/>
            <w:color w:val="0A6CAC"/>
            <w:sz w:val="24"/>
            <w:szCs w:val="24"/>
          </w:rPr>
          <w:t xml:space="preserve"> Минтранса России от 17 мая 2018 г. № 199</w:t>
        </w:r>
      </w:hyperlink>
      <w:r>
        <w:t xml:space="preserve"> </w:t>
      </w:r>
      <w:r w:rsidR="00E00A32"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 запрет на создание парковок на территории общего пользования в границах элемента планировочной структуры, застроенного многоквартирными домами.</w:t>
      </w:r>
    </w:p>
    <w:p w:rsidR="00E00A32" w:rsidRPr="00E00A32" w:rsidRDefault="00E00A32" w:rsidP="00E00A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парковка в зонах жилой застройки будет являться нарушением подпункта ж пункта 7 Положения о лицензировании деятельности по перевозкам пассажиров и иных лиц автобусами, утвержденного постановлением Правительства Российской Федерации от 27 февраля 2019г. № 195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0A32" w:rsidRPr="00E00A32" w:rsidRDefault="00E00A32" w:rsidP="00E00A3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A3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частью 3 статьи 14.1.2. Кодекса Российской Федерации об административных правонарушениях указанное нарушение влечет предупреждение или наложение административного штрафа на должностных лиц и индивидуальных предпринимателей в размере двадцати тысяч рублей; на юридических лиц - ста тысяч рублей</w:t>
      </w:r>
    </w:p>
    <w:p w:rsidR="0027540A" w:rsidRDefault="0027540A"/>
    <w:sectPr w:rsidR="0027540A" w:rsidSect="0065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1A7E"/>
    <w:multiLevelType w:val="multilevel"/>
    <w:tmpl w:val="9DD0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00A32"/>
    <w:rsid w:val="0027540A"/>
    <w:rsid w:val="00650880"/>
    <w:rsid w:val="00754C1F"/>
    <w:rsid w:val="00BA7DB0"/>
    <w:rsid w:val="00E0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00A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6180769/3260804776cdd6f3114fd44ed639f73e/" TargetMode="External"/><Relationship Id="rId13" Type="http://schemas.openxmlformats.org/officeDocument/2006/relationships/hyperlink" Target="http://base.garant.ru/70375334/08489aca157586351bb39ebe33fe75e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2255302/" TargetMode="External"/><Relationship Id="rId12" Type="http://schemas.openxmlformats.org/officeDocument/2006/relationships/hyperlink" Target="http://base.garant.ru/70375334/08489aca157586351bb39ebe33fe75e9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1093350/" TargetMode="External"/><Relationship Id="rId11" Type="http://schemas.openxmlformats.org/officeDocument/2006/relationships/hyperlink" Target="http://base.garant.ru/70375334/08489aca157586351bb39ebe33fe75e9/" TargetMode="External"/><Relationship Id="rId5" Type="http://schemas.openxmlformats.org/officeDocument/2006/relationships/hyperlink" Target="http://base.garant.ru/72005600/" TargetMode="External"/><Relationship Id="rId15" Type="http://schemas.openxmlformats.org/officeDocument/2006/relationships/hyperlink" Target="http://base.garant.ru/72005600/" TargetMode="External"/><Relationship Id="rId10" Type="http://schemas.openxmlformats.org/officeDocument/2006/relationships/hyperlink" Target="http://base.garant.ru/70375334/08489aca157586351bb39ebe33fe75e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6180769/3260804776cdd6f3114fd44ed639f73e/" TargetMode="External"/><Relationship Id="rId14" Type="http://schemas.openxmlformats.org/officeDocument/2006/relationships/hyperlink" Target="http://base.garant.ru/70375334/08489aca157586351bb39ebe33fe75e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Yhova</cp:lastModifiedBy>
  <cp:revision>5</cp:revision>
  <dcterms:created xsi:type="dcterms:W3CDTF">2020-02-21T05:53:00Z</dcterms:created>
  <dcterms:modified xsi:type="dcterms:W3CDTF">2020-02-21T06:37:00Z</dcterms:modified>
</cp:coreProperties>
</file>